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06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548"/>
        <w:gridCol w:w="1139"/>
        <w:gridCol w:w="2410"/>
        <w:gridCol w:w="2965"/>
      </w:tblGrid>
      <w:tr w:rsidR="00501B92" w:rsidRPr="000721E2" w:rsidTr="009616CD">
        <w:trPr>
          <w:trHeight w:val="426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bookmarkStart w:id="0" w:name="_GoBack" w:colFirst="1" w:colLast="1"/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Titel der Lehrveranstaltung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FC772C" w:rsidP="00B9032C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Konfliktmanagement und Selbstrefl</w:t>
            </w:r>
            <w:r w:rsidR="009A7962"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e</w:t>
            </w: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k</w:t>
            </w:r>
            <w:r w:rsidR="009A7962"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t</w:t>
            </w: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ion mit GFK </w:t>
            </w:r>
          </w:p>
        </w:tc>
      </w:tr>
      <w:tr w:rsidR="00F40CAE" w:rsidRPr="000721E2" w:rsidTr="00F40CAE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CAE" w:rsidRPr="000721E2" w:rsidRDefault="00F40CAE" w:rsidP="00EB69BE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Fachnummer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0CAE" w:rsidRPr="000F5B3E" w:rsidRDefault="000D3E67" w:rsidP="00EB69BE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740</w:t>
            </w:r>
          </w:p>
        </w:tc>
      </w:tr>
      <w:tr w:rsidR="00433EB1" w:rsidRPr="000721E2" w:rsidTr="009616CD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3EB1" w:rsidRPr="00433EB1" w:rsidRDefault="00433EB1" w:rsidP="00EB69BE">
            <w:pPr>
              <w:rPr>
                <w:rFonts w:ascii="Calibri" w:eastAsia="Times New Roman" w:hAnsi="Calibri" w:cs="Calibri"/>
                <w:b/>
                <w:lang w:eastAsia="de-DE"/>
              </w:rPr>
            </w:pPr>
            <w:r w:rsidRPr="00433EB1">
              <w:rPr>
                <w:rFonts w:ascii="Calibri" w:eastAsia="Times New Roman" w:hAnsi="Calibri" w:cs="Calibri"/>
                <w:b/>
                <w:lang w:eastAsia="de-DE"/>
              </w:rPr>
              <w:t xml:space="preserve">Englischer Titel der </w:t>
            </w:r>
          </w:p>
          <w:p w:rsidR="00433EB1" w:rsidRPr="000721E2" w:rsidRDefault="00433EB1" w:rsidP="00EB69BE">
            <w:pPr>
              <w:rPr>
                <w:rFonts w:eastAsia="Times New Roman" w:cstheme="minorHAnsi"/>
                <w:b/>
                <w:lang w:eastAsia="de-DE"/>
              </w:rPr>
            </w:pPr>
            <w:r w:rsidRPr="00433EB1">
              <w:rPr>
                <w:rFonts w:ascii="Calibri" w:eastAsia="Times New Roman" w:hAnsi="Calibri" w:cs="Calibri"/>
                <w:b/>
                <w:lang w:eastAsia="de-DE"/>
              </w:rPr>
              <w:t>Lehrveranstaltung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3EB1" w:rsidRPr="000F5B3E" w:rsidRDefault="00FC772C" w:rsidP="00EB69BE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0F5B3E">
              <w:rPr>
                <w:rFonts w:asciiTheme="minorHAnsi" w:hAnsiTheme="minorHAnsi" w:cstheme="minorHAnsi"/>
                <w:sz w:val="22"/>
              </w:rPr>
              <w:t>Con</w:t>
            </w:r>
            <w:r w:rsidR="00F91D73" w:rsidRPr="000F5B3E">
              <w:rPr>
                <w:rFonts w:asciiTheme="minorHAnsi" w:hAnsiTheme="minorHAnsi" w:cstheme="minorHAnsi"/>
                <w:sz w:val="22"/>
              </w:rPr>
              <w:t>f</w:t>
            </w:r>
            <w:r w:rsidRPr="000F5B3E">
              <w:rPr>
                <w:rFonts w:asciiTheme="minorHAnsi" w:hAnsiTheme="minorHAnsi" w:cstheme="minorHAnsi"/>
                <w:sz w:val="22"/>
              </w:rPr>
              <w:t>lict</w:t>
            </w:r>
            <w:proofErr w:type="spellEnd"/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F5B3E">
              <w:rPr>
                <w:rFonts w:asciiTheme="minorHAnsi" w:hAnsiTheme="minorHAnsi" w:cstheme="minorHAnsi"/>
                <w:sz w:val="22"/>
              </w:rPr>
              <w:t>management</w:t>
            </w:r>
            <w:proofErr w:type="spellEnd"/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F5B3E">
              <w:rPr>
                <w:rFonts w:asciiTheme="minorHAnsi" w:hAnsiTheme="minorHAnsi" w:cstheme="minorHAnsi"/>
                <w:sz w:val="22"/>
              </w:rPr>
              <w:t>and</w:t>
            </w:r>
            <w:proofErr w:type="spellEnd"/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F5B3E">
              <w:rPr>
                <w:rFonts w:asciiTheme="minorHAnsi" w:hAnsiTheme="minorHAnsi" w:cstheme="minorHAnsi"/>
                <w:sz w:val="22"/>
              </w:rPr>
              <w:t>self-reflection</w:t>
            </w:r>
            <w:proofErr w:type="spellEnd"/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proofErr w:type="spellStart"/>
            <w:r w:rsidRPr="000F5B3E">
              <w:rPr>
                <w:rFonts w:asciiTheme="minorHAnsi" w:hAnsiTheme="minorHAnsi" w:cstheme="minorHAnsi"/>
                <w:sz w:val="22"/>
              </w:rPr>
              <w:t>with</w:t>
            </w:r>
            <w:proofErr w:type="spellEnd"/>
            <w:r w:rsidRPr="000F5B3E">
              <w:rPr>
                <w:rFonts w:asciiTheme="minorHAnsi" w:hAnsiTheme="minorHAnsi" w:cstheme="minorHAnsi"/>
                <w:sz w:val="22"/>
              </w:rPr>
              <w:t xml:space="preserve"> NVC</w:t>
            </w:r>
          </w:p>
        </w:tc>
      </w:tr>
      <w:tr w:rsidR="00501B92" w:rsidRPr="000721E2" w:rsidTr="009616CD">
        <w:trPr>
          <w:trHeight w:val="40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Lehrformen: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153E2A" w:rsidP="00B903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Kompaktkurs in der vorlesungsfreien Zeit</w:t>
            </w:r>
          </w:p>
          <w:p w:rsidR="00153E2A" w:rsidRPr="000F5B3E" w:rsidRDefault="00153E2A" w:rsidP="00B9032C">
            <w:pPr>
              <w:rPr>
                <w:rFonts w:asciiTheme="minorHAnsi" w:hAnsiTheme="minorHAnsi" w:cstheme="minorHAnsi"/>
                <w:sz w:val="22"/>
              </w:rPr>
            </w:pPr>
          </w:p>
          <w:p w:rsidR="00153E2A" w:rsidRPr="000F5B3E" w:rsidRDefault="00153E2A" w:rsidP="00FA620A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Lehrformen: </w:t>
            </w:r>
            <w:r w:rsidR="00FA620A" w:rsidRPr="000F5B3E">
              <w:rPr>
                <w:rFonts w:asciiTheme="minorHAnsi" w:hAnsiTheme="minorHAnsi" w:cstheme="minorHAnsi"/>
                <w:sz w:val="22"/>
              </w:rPr>
              <w:t xml:space="preserve">Vorträge, Kurzvorträge, </w:t>
            </w:r>
            <w:r w:rsidR="009A7962" w:rsidRPr="000F5B3E">
              <w:rPr>
                <w:rFonts w:asciiTheme="minorHAnsi" w:hAnsiTheme="minorHAnsi" w:cstheme="minorHAnsi"/>
                <w:sz w:val="22"/>
              </w:rPr>
              <w:t>Fallbeispiele</w:t>
            </w:r>
            <w:r w:rsidR="00FA620A" w:rsidRPr="000F5B3E">
              <w:rPr>
                <w:rFonts w:asciiTheme="minorHAnsi" w:hAnsiTheme="minorHAnsi" w:cstheme="minorHAnsi"/>
                <w:sz w:val="22"/>
              </w:rPr>
              <w:t>, Übungen und Feedback, Selbstrefle</w:t>
            </w:r>
            <w:r w:rsidR="00FC772C" w:rsidRPr="000F5B3E">
              <w:rPr>
                <w:rFonts w:asciiTheme="minorHAnsi" w:hAnsiTheme="minorHAnsi" w:cstheme="minorHAnsi"/>
                <w:sz w:val="22"/>
              </w:rPr>
              <w:t xml:space="preserve">ktion, Diskurs, </w:t>
            </w:r>
            <w:r w:rsidR="009A7962" w:rsidRPr="000F5B3E">
              <w:rPr>
                <w:rFonts w:asciiTheme="minorHAnsi" w:hAnsiTheme="minorHAnsi" w:cstheme="minorHAnsi"/>
                <w:sz w:val="22"/>
              </w:rPr>
              <w:t>Rollenspiele</w:t>
            </w:r>
          </w:p>
        </w:tc>
      </w:tr>
      <w:tr w:rsidR="00832C79" w:rsidRPr="000721E2" w:rsidTr="00832C79">
        <w:trPr>
          <w:trHeight w:val="42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2C79" w:rsidRPr="000721E2" w:rsidRDefault="00832C79" w:rsidP="00EF08EE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Modul-verantwortliche/r: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32C79" w:rsidRPr="000F5B3E" w:rsidRDefault="000D3E67" w:rsidP="00EF08EE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Frau Prof. Dr. Mahena Stief</w:t>
            </w:r>
          </w:p>
        </w:tc>
      </w:tr>
      <w:tr w:rsidR="00501B92" w:rsidRPr="000721E2" w:rsidTr="009616CD">
        <w:trPr>
          <w:trHeight w:val="424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832C79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proofErr w:type="spellStart"/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Lehrende</w:t>
            </w:r>
            <w:r w:rsidR="008F4F42"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:r</w:t>
            </w:r>
            <w:proofErr w:type="spellEnd"/>
            <w:r w:rsidR="00501B92"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FC772C" w:rsidP="00832C79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Teresa Hierenbach </w:t>
            </w:r>
          </w:p>
        </w:tc>
      </w:tr>
      <w:tr w:rsidR="00501B92" w:rsidRPr="000721E2" w:rsidTr="009616CD">
        <w:trPr>
          <w:trHeight w:val="503"/>
        </w:trPr>
        <w:tc>
          <w:tcPr>
            <w:tcW w:w="2548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Arbeitsaufwand: 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2 SWS  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72EF6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Präsenszeit: 2</w:t>
            </w:r>
            <w:r w:rsidR="00B72EF6" w:rsidRPr="000F5B3E">
              <w:rPr>
                <w:rFonts w:asciiTheme="minorHAnsi" w:hAnsiTheme="minorHAnsi" w:cstheme="minorHAnsi"/>
                <w:sz w:val="22"/>
              </w:rPr>
              <w:t>6</w:t>
            </w:r>
            <w:r w:rsidR="00F915ED"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F0692" w:rsidRPr="000F5B3E">
              <w:rPr>
                <w:rFonts w:asciiTheme="minorHAnsi" w:hAnsiTheme="minorHAnsi" w:cstheme="minorHAnsi"/>
                <w:sz w:val="22"/>
              </w:rPr>
              <w:t>UE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72EF6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Gesamtaufwand: 7</w:t>
            </w:r>
            <w:r w:rsidR="00B72EF6" w:rsidRPr="000F5B3E">
              <w:rPr>
                <w:rFonts w:asciiTheme="minorHAnsi" w:hAnsiTheme="minorHAnsi" w:cstheme="minorHAnsi"/>
                <w:sz w:val="22"/>
              </w:rPr>
              <w:t>4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F0692" w:rsidRPr="000F5B3E">
              <w:rPr>
                <w:rFonts w:asciiTheme="minorHAnsi" w:hAnsiTheme="minorHAnsi" w:cstheme="minorHAnsi"/>
                <w:sz w:val="22"/>
              </w:rPr>
              <w:t>UE</w:t>
            </w:r>
          </w:p>
        </w:tc>
      </w:tr>
      <w:tr w:rsidR="00501B92" w:rsidRPr="000721E2" w:rsidTr="00832C79">
        <w:trPr>
          <w:trHeight w:val="502"/>
        </w:trPr>
        <w:tc>
          <w:tcPr>
            <w:tcW w:w="2548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F0692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Selbststudium: 50 </w:t>
            </w:r>
            <w:r w:rsidR="00BF0692" w:rsidRPr="000F5B3E">
              <w:rPr>
                <w:rFonts w:asciiTheme="minorHAnsi" w:hAnsiTheme="minorHAnsi" w:cstheme="minorHAnsi"/>
                <w:sz w:val="22"/>
              </w:rPr>
              <w:t>UE</w:t>
            </w:r>
          </w:p>
        </w:tc>
        <w:tc>
          <w:tcPr>
            <w:tcW w:w="29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01B92" w:rsidRPr="000721E2" w:rsidTr="00832C79">
        <w:trPr>
          <w:trHeight w:val="565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Prüfungsart: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72EF6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Präsentation (1</w:t>
            </w:r>
            <w:r w:rsidR="00B72EF6" w:rsidRPr="000F5B3E">
              <w:rPr>
                <w:rFonts w:asciiTheme="minorHAnsi" w:hAnsiTheme="minorHAnsi" w:cstheme="minorHAnsi"/>
                <w:sz w:val="22"/>
              </w:rPr>
              <w:t>0-15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Minuten)</w:t>
            </w:r>
            <w:r w:rsidR="00B72EF6" w:rsidRPr="000F5B3E">
              <w:rPr>
                <w:rFonts w:asciiTheme="minorHAnsi" w:hAnsiTheme="minorHAnsi" w:cstheme="minorHAnsi"/>
                <w:sz w:val="22"/>
              </w:rPr>
              <w:t xml:space="preserve"> plus schriftliche Leistung (z.B. Kurzbericht)</w:t>
            </w:r>
          </w:p>
          <w:p w:rsidR="00153E2A" w:rsidRPr="000F5B3E" w:rsidRDefault="00153E2A" w:rsidP="00B72EF6">
            <w:pPr>
              <w:rPr>
                <w:rFonts w:asciiTheme="minorHAnsi" w:hAnsiTheme="minorHAnsi" w:cstheme="minorHAnsi"/>
                <w:sz w:val="22"/>
              </w:rPr>
            </w:pPr>
          </w:p>
          <w:p w:rsidR="00153E2A" w:rsidRPr="000F5B3E" w:rsidRDefault="00153E2A" w:rsidP="00B72EF6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Näheres regelt der Stundenplan</w:t>
            </w:r>
          </w:p>
        </w:tc>
      </w:tr>
      <w:tr w:rsidR="00501B92" w:rsidRPr="000721E2" w:rsidTr="00832C79">
        <w:trPr>
          <w:trHeight w:val="418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Leistungspunkte: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2 CPs </w:t>
            </w:r>
            <w:r w:rsidRPr="000F5B3E">
              <w:rPr>
                <w:rFonts w:asciiTheme="minorHAnsi" w:hAnsiTheme="minorHAnsi" w:cstheme="minorHAnsi"/>
                <w:sz w:val="22"/>
              </w:rPr>
              <w:tab/>
            </w:r>
            <w:r w:rsidRPr="000F5B3E">
              <w:rPr>
                <w:rFonts w:asciiTheme="minorHAnsi" w:hAnsiTheme="minorHAnsi" w:cstheme="minorHAnsi"/>
                <w:sz w:val="22"/>
              </w:rPr>
              <w:tab/>
              <w:t>Benotung: ja, Kommanoten</w:t>
            </w:r>
          </w:p>
        </w:tc>
      </w:tr>
      <w:tr w:rsidR="00501B92" w:rsidRPr="000721E2" w:rsidTr="00832C79">
        <w:trPr>
          <w:trHeight w:val="410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Voraussetzungen: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Keine</w:t>
            </w:r>
          </w:p>
        </w:tc>
      </w:tr>
      <w:tr w:rsidR="00501B92" w:rsidRPr="000721E2" w:rsidTr="00832C79">
        <w:trPr>
          <w:trHeight w:val="430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Verwendbarkeit: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01B92" w:rsidRPr="000F5B3E" w:rsidRDefault="00501B92" w:rsidP="00B903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Allgemeinwissenschaftliche Wahlpflicht</w:t>
            </w:r>
          </w:p>
        </w:tc>
      </w:tr>
      <w:tr w:rsidR="00501B92" w:rsidRPr="000721E2" w:rsidTr="009616C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 xml:space="preserve">Inhalt: 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C772C" w:rsidRPr="000F5B3E" w:rsidRDefault="00FC772C" w:rsidP="00FC77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In dem Seminar </w:t>
            </w:r>
            <w:r w:rsidR="009A7962"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Konfliktmanagement und Selbstreflektion mit der 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Gewaltfreie Kommunikation (GFK) nach Marshall B Rosenberg, </w:t>
            </w:r>
            <w:r w:rsidR="00091379" w:rsidRPr="000F5B3E">
              <w:rPr>
                <w:rFonts w:asciiTheme="minorHAnsi" w:hAnsiTheme="minorHAnsi" w:cstheme="minorHAnsi"/>
                <w:sz w:val="22"/>
              </w:rPr>
              <w:t>setzen sich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die Studierenden </w:t>
            </w:r>
            <w:r w:rsidR="00091379" w:rsidRPr="000F5B3E">
              <w:rPr>
                <w:rFonts w:asciiTheme="minorHAnsi" w:hAnsiTheme="minorHAnsi" w:cstheme="minorHAnsi"/>
                <w:sz w:val="22"/>
              </w:rPr>
              <w:t>mit der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Theorie der GFK </w:t>
            </w:r>
            <w:r w:rsidR="00091379" w:rsidRPr="000F5B3E">
              <w:rPr>
                <w:rFonts w:asciiTheme="minorHAnsi" w:hAnsiTheme="minorHAnsi" w:cstheme="minorHAnsi"/>
                <w:sz w:val="22"/>
              </w:rPr>
              <w:t>auseinander und erlangen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Praxiserfahrungen. Durch die verschiedenen Lehrmethoden </w:t>
            </w:r>
            <w:r w:rsidR="00091379" w:rsidRPr="000F5B3E">
              <w:rPr>
                <w:rFonts w:asciiTheme="minorHAnsi" w:hAnsiTheme="minorHAnsi" w:cstheme="minorHAnsi"/>
                <w:sz w:val="22"/>
              </w:rPr>
              <w:t>werden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sie dazu angeregt die Kommunikationstechnik über die Theorie hinaus auch praktisch zu erfahren. </w:t>
            </w:r>
          </w:p>
          <w:p w:rsidR="00FC772C" w:rsidRPr="000F5B3E" w:rsidRDefault="00FC772C" w:rsidP="00FC77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Aufzuteilen ist die Theorie in Drei Säulen. </w:t>
            </w:r>
          </w:p>
          <w:p w:rsidR="00FC772C" w:rsidRPr="000F5B3E" w:rsidRDefault="00FC772C" w:rsidP="00FC77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Die erste Säule ist die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Selbstklärung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. Hierbei liegt der Fokus darauf, dass die Teilnehmenden ihr Bewusstsein sensibilisieren, die eigenen Bedürfnisse lokalisieren und den inneren Kritiker festigen. Es entsteht eine Klarheit der eigenen Handlungen. </w:t>
            </w:r>
          </w:p>
          <w:p w:rsidR="00FC772C" w:rsidRPr="000F5B3E" w:rsidRDefault="00FC772C" w:rsidP="00FC77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Die zweite Säule ist der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Selbstausdruck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. Hierbei liegt die Aufmerksamkeit auf der Theorie. </w:t>
            </w:r>
            <w:r w:rsidRPr="000F5B3E">
              <w:rPr>
                <w:rFonts w:asciiTheme="minorHAnsi" w:hAnsiTheme="minorHAnsi" w:cstheme="minorHAnsi"/>
                <w:i/>
                <w:sz w:val="22"/>
              </w:rPr>
              <w:t>Wie kann der sprachliche Ausdruck in Anlehnung an die GFK erfolgen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? Die 4 Schritte sind hierfür das Grundgerüst. 1. Die Beobachtung. 2. Das Gefühl. 3. Bedürfnis. 4. Die Bitte. In dieser Säule wird die Natürlichkeit der Sprache vertieft. </w:t>
            </w:r>
          </w:p>
          <w:p w:rsidR="00FC772C" w:rsidRPr="000F5B3E" w:rsidRDefault="00FC772C" w:rsidP="00FC772C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Die dritte Säule ist die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Empathie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. In dieser Säule richtet sich das Konzept vom </w:t>
            </w:r>
            <w:r w:rsidRPr="000F5B3E">
              <w:rPr>
                <w:rFonts w:asciiTheme="minorHAnsi" w:hAnsiTheme="minorHAnsi" w:cstheme="minorHAnsi"/>
                <w:i/>
                <w:sz w:val="22"/>
              </w:rPr>
              <w:t>Ich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auf das Gegenüber. </w:t>
            </w:r>
            <w:r w:rsidRPr="000F5B3E">
              <w:rPr>
                <w:rFonts w:asciiTheme="minorHAnsi" w:hAnsiTheme="minorHAnsi" w:cstheme="minorHAnsi"/>
                <w:i/>
                <w:sz w:val="22"/>
              </w:rPr>
              <w:t xml:space="preserve">Wie höre ich richtig zu, wie verstehe ich </w:t>
            </w:r>
            <w:proofErr w:type="gramStart"/>
            <w:r w:rsidRPr="000F5B3E">
              <w:rPr>
                <w:rFonts w:asciiTheme="minorHAnsi" w:hAnsiTheme="minorHAnsi" w:cstheme="minorHAnsi"/>
                <w:i/>
                <w:sz w:val="22"/>
              </w:rPr>
              <w:t>meines Gegenüber</w:t>
            </w:r>
            <w:proofErr w:type="gramEnd"/>
            <w:r w:rsidRPr="000F5B3E">
              <w:rPr>
                <w:rFonts w:asciiTheme="minorHAnsi" w:hAnsiTheme="minorHAnsi" w:cstheme="minorHAnsi"/>
                <w:i/>
                <w:sz w:val="22"/>
              </w:rPr>
              <w:t xml:space="preserve"> wirklich, wie erkenne ich die zugrundeliegende Intention des Handelns.</w:t>
            </w:r>
          </w:p>
          <w:p w:rsidR="00501B92" w:rsidRPr="000F5B3E" w:rsidRDefault="00FC772C" w:rsidP="00FC772C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Die Drei Säulen fußen auf einer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partnerschaftlichen Haltung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und einem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 xml:space="preserve">positiven Menschenbilden, welche einen 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von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Verständnis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lastRenderedPageBreak/>
              <w:t>Anerkennung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0F5B3E">
              <w:rPr>
                <w:rFonts w:asciiTheme="minorHAnsi" w:hAnsiTheme="minorHAnsi" w:cstheme="minorHAnsi"/>
                <w:b/>
                <w:sz w:val="22"/>
              </w:rPr>
              <w:t>Verbindung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und </w:t>
            </w:r>
            <w:r w:rsidRPr="000F5B3E">
              <w:rPr>
                <w:rFonts w:asciiTheme="minorHAnsi" w:hAnsiTheme="minorHAnsi" w:cstheme="minorHAnsi"/>
                <w:b/>
                <w:i/>
                <w:sz w:val="22"/>
              </w:rPr>
              <w:t>Wertschätzung</w:t>
            </w:r>
            <w:r w:rsidRPr="000F5B3E">
              <w:rPr>
                <w:rFonts w:asciiTheme="minorHAnsi" w:hAnsiTheme="minorHAnsi" w:cstheme="minorHAnsi"/>
                <w:sz w:val="22"/>
              </w:rPr>
              <w:t xml:space="preserve"> getragen Umgang ermöglichen. Mit sich selbst (Ich) sowie mit seinem Gegenüber </w:t>
            </w:r>
            <w:r w:rsidRPr="000F5B3E">
              <w:rPr>
                <w:rFonts w:asciiTheme="minorHAnsi" w:hAnsiTheme="minorHAnsi" w:cstheme="minorHAnsi"/>
                <w:i/>
                <w:sz w:val="22"/>
              </w:rPr>
              <w:t>(Du – Klient, Partner, Kollegen, Kind)</w:t>
            </w:r>
            <w:r w:rsidR="009A7962" w:rsidRPr="000F5B3E">
              <w:rPr>
                <w:rFonts w:asciiTheme="minorHAnsi" w:hAnsiTheme="minorHAnsi" w:cstheme="minorHAnsi"/>
                <w:i/>
                <w:sz w:val="22"/>
              </w:rPr>
              <w:t>.</w:t>
            </w:r>
          </w:p>
        </w:tc>
      </w:tr>
      <w:tr w:rsidR="00501B92" w:rsidRPr="000721E2" w:rsidTr="009616C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721E2" w:rsidRDefault="00501B92" w:rsidP="00501B92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lastRenderedPageBreak/>
              <w:t>Kompetenz-orientierte Beschreibung der Lernziele: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91D73" w:rsidRPr="000F5B3E" w:rsidRDefault="00F91D73" w:rsidP="00F91D73">
            <w:p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AW-Fach: </w:t>
            </w:r>
            <w:r w:rsidRPr="000F5B3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Konfliktmanagement und Selbstreflektion mit GFK</w:t>
            </w:r>
          </w:p>
          <w:p w:rsidR="00F91D73" w:rsidRPr="000F5B3E" w:rsidRDefault="00F91D73" w:rsidP="00F91D73">
            <w:pPr>
              <w:pStyle w:val="Tabellentextrech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b/>
                <w:sz w:val="22"/>
                <w:szCs w:val="22"/>
              </w:rPr>
              <w:t>Kenntnisse:</w:t>
            </w:r>
          </w:p>
          <w:p w:rsidR="00F91D73" w:rsidRPr="000F5B3E" w:rsidRDefault="00F91D73" w:rsidP="00F91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Studierenden 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erklären die Theorien und Modelle der Gewaltfreien Kommunikation.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charakterisieren die Anwendungsbereiche der Theorie.</w:t>
            </w:r>
          </w:p>
          <w:p w:rsidR="00F91D73" w:rsidRPr="000F5B3E" w:rsidRDefault="00F91D73" w:rsidP="00B7388C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entwickeln eine Sicherheit im Umgang mit der Gewaltfreien Kommunikation für Berufsleben wie für den Alltag.</w:t>
            </w:r>
          </w:p>
          <w:p w:rsidR="00F91D73" w:rsidRPr="000F5B3E" w:rsidRDefault="00F91D73" w:rsidP="00F91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F91D73" w:rsidRPr="000F5B3E" w:rsidRDefault="00F91D73" w:rsidP="00F91D73">
            <w:pPr>
              <w:pStyle w:val="Tabellentextrechts"/>
              <w:rPr>
                <w:rFonts w:asciiTheme="minorHAnsi" w:hAnsiTheme="minorHAnsi" w:cstheme="minorHAnsi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b/>
                <w:sz w:val="22"/>
                <w:szCs w:val="22"/>
              </w:rPr>
              <w:t>Fertigkeiten:</w:t>
            </w:r>
          </w:p>
          <w:p w:rsidR="00F91D73" w:rsidRPr="000F5B3E" w:rsidRDefault="00F91D73" w:rsidP="00F91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Studierenden 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wenden die Theorie auf Beispiele an. 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analysieren menschliches Verhalten und Erleben in sozialen Kontexten, d. h. sie Identifizieren, beschreiben und erklären Verhalten und Erleben.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erproben und wenden die Theorie auf Praxissituationen an. </w:t>
            </w:r>
          </w:p>
          <w:p w:rsidR="00F91D73" w:rsidRPr="000F5B3E" w:rsidRDefault="00F91D73" w:rsidP="00F91D73">
            <w:pPr>
              <w:pStyle w:val="Tabellentextrechts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1D73" w:rsidRPr="000F5B3E" w:rsidRDefault="00F91D73" w:rsidP="00F91D73">
            <w:pPr>
              <w:pStyle w:val="Tabellentextrechts"/>
              <w:rPr>
                <w:rFonts w:asciiTheme="minorHAnsi" w:hAnsiTheme="minorHAnsi" w:cstheme="minorHAnsi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Kompetenzen: </w:t>
            </w:r>
          </w:p>
          <w:p w:rsidR="00F91D73" w:rsidRPr="000F5B3E" w:rsidRDefault="00F91D73" w:rsidP="00F91D7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Die Studierenden 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reflektieren eigene Kognitionen, Emotionen und Verhaltensweisen vor dem Hintergrund der Gewaltfreien Kommunikation.</w:t>
            </w:r>
          </w:p>
          <w:p w:rsidR="00F91D73" w:rsidRPr="000F5B3E" w:rsidRDefault="00B7388C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="00F91D73"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ntegrieren einen inneren Kritiker um eine professionelle Haltung in der Praxis zu festigen.</w:t>
            </w:r>
          </w:p>
          <w:p w:rsidR="00F91D73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entwickeln Verständnis für moralisches Urteilen und bedürfnisorientiertes Urteilen von Personen </w:t>
            </w:r>
          </w:p>
          <w:p w:rsidR="00501B92" w:rsidRPr="000F5B3E" w:rsidRDefault="00F91D73" w:rsidP="00F91D7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F5B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wählen Gesprächsführungsmethoden für Praxisfälle aus, erproben diese und geben sich gegenseitig Feedback </w:t>
            </w:r>
          </w:p>
        </w:tc>
      </w:tr>
      <w:tr w:rsidR="00501B92" w:rsidRPr="000721E2" w:rsidTr="009616CD">
        <w:trPr>
          <w:trHeight w:val="1701"/>
        </w:trPr>
        <w:tc>
          <w:tcPr>
            <w:tcW w:w="2548" w:type="dxa"/>
            <w:tcBorders>
              <w:left w:val="nil"/>
              <w:right w:val="nil"/>
            </w:tcBorders>
            <w:shd w:val="clear" w:color="auto" w:fill="auto"/>
          </w:tcPr>
          <w:p w:rsidR="00501B92" w:rsidRPr="000721E2" w:rsidRDefault="00501B92" w:rsidP="00B9032C">
            <w:pPr>
              <w:rPr>
                <w:rFonts w:asciiTheme="minorHAnsi" w:eastAsia="Times New Roman" w:hAnsiTheme="minorHAnsi" w:cstheme="minorHAnsi"/>
                <w:b/>
                <w:lang w:eastAsia="de-DE"/>
              </w:rPr>
            </w:pPr>
            <w:r w:rsidRPr="000721E2">
              <w:rPr>
                <w:rFonts w:asciiTheme="minorHAnsi" w:eastAsia="Times New Roman" w:hAnsiTheme="minorHAnsi" w:cstheme="minorHAnsi"/>
                <w:b/>
                <w:lang w:eastAsia="de-DE"/>
              </w:rPr>
              <w:t>Verwendete / empfohlene Literatur:</w:t>
            </w:r>
          </w:p>
        </w:tc>
        <w:tc>
          <w:tcPr>
            <w:tcW w:w="6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501B92" w:rsidRPr="000F5B3E" w:rsidRDefault="00F91D73" w:rsidP="00F91D73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 xml:space="preserve">Marshall B. Rosenberg: Gewaltfreie Kommunikation – Eine Sprache des Lebens </w:t>
            </w:r>
          </w:p>
          <w:p w:rsidR="00F91D73" w:rsidRPr="000F5B3E" w:rsidRDefault="00F91D73" w:rsidP="00B7388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Marshall B. Rosenberg</w:t>
            </w:r>
            <w:r w:rsidR="00B7388C" w:rsidRPr="000F5B3E">
              <w:rPr>
                <w:rFonts w:asciiTheme="minorHAnsi" w:hAnsiTheme="minorHAnsi" w:cstheme="minorHAnsi"/>
                <w:sz w:val="22"/>
              </w:rPr>
              <w:t xml:space="preserve">: Konflikte lösen durch Gewaltfreie Kommunikation – Ein Gespräch mit Gabriele Seils </w:t>
            </w:r>
          </w:p>
          <w:p w:rsidR="00B7388C" w:rsidRPr="00B7388C" w:rsidRDefault="00B7388C" w:rsidP="00B7388C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0F5B3E">
              <w:rPr>
                <w:rFonts w:asciiTheme="minorHAnsi" w:hAnsiTheme="minorHAnsi" w:cstheme="minorHAnsi"/>
                <w:sz w:val="22"/>
              </w:rPr>
              <w:t>Ingrid Holler: Trainingsbuch Gewaltfreie Kommunikation: Abwechslungsreiche Übungen für Selbststudium und Seminare</w:t>
            </w:r>
            <w:r w:rsidRPr="00B7388C">
              <w:rPr>
                <w:rFonts w:asciiTheme="minorHAnsi" w:hAnsiTheme="minorHAnsi" w:cstheme="minorHAnsi"/>
              </w:rPr>
              <w:t>.</w:t>
            </w:r>
          </w:p>
          <w:p w:rsidR="00F91D73" w:rsidRPr="000721E2" w:rsidRDefault="00F91D73" w:rsidP="006E6111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:rsidR="00501B92" w:rsidRPr="000721E2" w:rsidRDefault="00501B92" w:rsidP="00501B92">
      <w:pPr>
        <w:rPr>
          <w:rFonts w:cstheme="minorHAnsi"/>
        </w:rPr>
      </w:pPr>
    </w:p>
    <w:p w:rsidR="00823AF6" w:rsidRPr="000721E2" w:rsidRDefault="00823AF6">
      <w:pPr>
        <w:rPr>
          <w:rFonts w:cstheme="minorHAnsi"/>
        </w:rPr>
      </w:pPr>
    </w:p>
    <w:p w:rsidR="00B17549" w:rsidRPr="00F91D73" w:rsidRDefault="00BF0692" w:rsidP="00F91D73">
      <w:pPr>
        <w:rPr>
          <w:rFonts w:cstheme="minorHAnsi"/>
        </w:rPr>
      </w:pPr>
      <w:r w:rsidRPr="000721E2">
        <w:rPr>
          <w:rFonts w:cstheme="minorHAnsi"/>
        </w:rPr>
        <w:t>UE= Unterrichtseinheit = 45 Minuten</w:t>
      </w:r>
    </w:p>
    <w:sectPr w:rsidR="00B17549" w:rsidRPr="00F91D73" w:rsidSect="00501B9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0E" w:rsidRDefault="002B5D0E" w:rsidP="00501B92">
      <w:pPr>
        <w:spacing w:after="0" w:line="240" w:lineRule="auto"/>
      </w:pPr>
      <w:r>
        <w:separator/>
      </w:r>
    </w:p>
  </w:endnote>
  <w:endnote w:type="continuationSeparator" w:id="0">
    <w:p w:rsidR="002B5D0E" w:rsidRDefault="002B5D0E" w:rsidP="0050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92" w:rsidRPr="00501B92" w:rsidRDefault="00501B92">
    <w:pPr>
      <w:pStyle w:val="Fuzeile"/>
      <w:rPr>
        <w:color w:val="7F7F7F" w:themeColor="text1" w:themeTint="80"/>
        <w:sz w:val="16"/>
        <w:szCs w:val="16"/>
      </w:rPr>
    </w:pPr>
    <w:r>
      <w:rPr>
        <w:color w:val="7F7F7F" w:themeColor="text1" w:themeTint="80"/>
        <w:sz w:val="16"/>
        <w:szCs w:val="16"/>
      </w:rPr>
      <w:t>AGN, Hochschule Augsburg, Stand 16.01.2020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0E" w:rsidRDefault="002B5D0E" w:rsidP="00501B92">
      <w:pPr>
        <w:spacing w:after="0" w:line="240" w:lineRule="auto"/>
      </w:pPr>
      <w:r>
        <w:separator/>
      </w:r>
    </w:p>
  </w:footnote>
  <w:footnote w:type="continuationSeparator" w:id="0">
    <w:p w:rsidR="002B5D0E" w:rsidRDefault="002B5D0E" w:rsidP="00501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B92" w:rsidRPr="00501B92" w:rsidRDefault="00501B92" w:rsidP="00501B92">
    <w:pPr>
      <w:tabs>
        <w:tab w:val="left" w:pos="3119"/>
      </w:tabs>
      <w:spacing w:after="0" w:line="240" w:lineRule="auto"/>
      <w:ind w:left="-180" w:right="-427" w:firstLine="180"/>
      <w:rPr>
        <w:rFonts w:ascii="Arial" w:eastAsia="Calibri" w:hAnsi="Arial" w:cs="Arial"/>
        <w:b/>
        <w:spacing w:val="6"/>
        <w:sz w:val="21"/>
        <w:szCs w:val="21"/>
      </w:rPr>
    </w:pPr>
    <w:r w:rsidRPr="00501B92">
      <w:rPr>
        <w:rFonts w:ascii="Arial" w:eastAsia="Calibri" w:hAnsi="Arial" w:cs="Arial"/>
        <w:b/>
        <w:spacing w:val="6"/>
        <w:sz w:val="21"/>
        <w:szCs w:val="21"/>
      </w:rPr>
      <w:t xml:space="preserve">Hochschule Augsburg      </w:t>
    </w:r>
    <w:r w:rsidRPr="00501B92">
      <w:rPr>
        <w:rFonts w:ascii="Arial" w:eastAsia="Calibri" w:hAnsi="Arial" w:cs="Arial"/>
        <w:b/>
        <w:spacing w:val="6"/>
        <w:sz w:val="21"/>
        <w:szCs w:val="21"/>
      </w:rPr>
      <w:tab/>
      <w:t xml:space="preserve">Fakultät für Geistes- und Naturwissenschaften </w:t>
    </w:r>
  </w:p>
  <w:p w:rsidR="00501B92" w:rsidRPr="00501B92" w:rsidRDefault="00501B92" w:rsidP="00501B92">
    <w:pPr>
      <w:tabs>
        <w:tab w:val="left" w:pos="3119"/>
      </w:tabs>
      <w:spacing w:after="0" w:line="240" w:lineRule="auto"/>
      <w:ind w:left="-180" w:firstLine="180"/>
      <w:rPr>
        <w:rFonts w:ascii="Arial" w:eastAsia="Calibri" w:hAnsi="Arial" w:cs="Arial"/>
        <w:sz w:val="21"/>
        <w:szCs w:val="21"/>
        <w:lang w:val="en-GB"/>
      </w:rPr>
    </w:pPr>
    <w:r w:rsidRPr="00501B92">
      <w:rPr>
        <w:rFonts w:ascii="Arial" w:eastAsia="Calibri" w:hAnsi="Arial" w:cs="Arial"/>
        <w:sz w:val="21"/>
        <w:szCs w:val="21"/>
        <w:lang w:val="en-GB"/>
      </w:rPr>
      <w:t>University of Applied Sciences</w:t>
    </w:r>
    <w:r w:rsidRPr="00501B92">
      <w:rPr>
        <w:rFonts w:ascii="Arial" w:eastAsia="Calibri" w:hAnsi="Arial" w:cs="Arial"/>
        <w:sz w:val="21"/>
        <w:szCs w:val="21"/>
        <w:lang w:val="en-GB"/>
      </w:rPr>
      <w:tab/>
      <w:t xml:space="preserve">Faculty of Liberal Arts and Sciences </w:t>
    </w:r>
  </w:p>
  <w:p w:rsidR="00501B92" w:rsidRPr="00501B92" w:rsidRDefault="00501B92" w:rsidP="00501B92">
    <w:pPr>
      <w:pBdr>
        <w:bottom w:val="single" w:sz="4" w:space="1" w:color="auto"/>
      </w:pBdr>
      <w:spacing w:after="0" w:line="240" w:lineRule="auto"/>
      <w:rPr>
        <w:rFonts w:ascii="Arial" w:eastAsia="Calibri" w:hAnsi="Arial" w:cs="Tahoma"/>
        <w:b/>
        <w:color w:val="E36C0A"/>
        <w:sz w:val="38"/>
        <w:szCs w:val="38"/>
        <w:lang w:val="en-GB"/>
      </w:rPr>
    </w:pPr>
  </w:p>
  <w:p w:rsidR="00501B92" w:rsidRPr="00501B92" w:rsidRDefault="00501B92" w:rsidP="00501B92">
    <w:pPr>
      <w:pBdr>
        <w:bottom w:val="single" w:sz="4" w:space="1" w:color="auto"/>
      </w:pBdr>
      <w:tabs>
        <w:tab w:val="right" w:pos="9498"/>
      </w:tabs>
      <w:spacing w:after="200" w:line="240" w:lineRule="auto"/>
      <w:rPr>
        <w:rFonts w:ascii="Arial" w:eastAsia="Calibri" w:hAnsi="Arial" w:cs="Tahoma"/>
        <w:b/>
        <w:color w:val="E36C0A"/>
        <w:sz w:val="32"/>
        <w:szCs w:val="32"/>
      </w:rPr>
    </w:pPr>
    <w:r w:rsidRPr="00501B92">
      <w:rPr>
        <w:rFonts w:ascii="Arial" w:eastAsia="Calibri" w:hAnsi="Arial" w:cs="Tahoma"/>
        <w:b/>
        <w:color w:val="E36C0A"/>
        <w:sz w:val="28"/>
        <w:szCs w:val="28"/>
      </w:rPr>
      <w:t>Modulbeschreibung</w:t>
    </w:r>
    <w:r w:rsidRPr="00501B92">
      <w:rPr>
        <w:rFonts w:ascii="Arial" w:eastAsia="Calibri" w:hAnsi="Arial" w:cs="Arial"/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1" locked="1" layoutInCell="1" allowOverlap="1" wp14:anchorId="27EFCB1C" wp14:editId="354FB548">
          <wp:simplePos x="0" y="0"/>
          <wp:positionH relativeFrom="page">
            <wp:posOffset>6276340</wp:posOffset>
          </wp:positionH>
          <wp:positionV relativeFrom="page">
            <wp:posOffset>283845</wp:posOffset>
          </wp:positionV>
          <wp:extent cx="801370" cy="436245"/>
          <wp:effectExtent l="0" t="0" r="0" b="1905"/>
          <wp:wrapNone/>
          <wp:docPr id="2" name="Grafik 2" descr="logo_neutral_288dpi_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eutral_288dpi_f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B92">
      <w:rPr>
        <w:rFonts w:ascii="Arial" w:eastAsia="Calibri" w:hAnsi="Arial" w:cs="Tahoma"/>
        <w:b/>
        <w:color w:val="E36C0A"/>
        <w:sz w:val="32"/>
        <w:szCs w:val="32"/>
      </w:rPr>
      <w:t xml:space="preserve"> </w:t>
    </w:r>
    <w:r w:rsidRPr="00501B92">
      <w:rPr>
        <w:rFonts w:ascii="Arial" w:eastAsia="Calibri" w:hAnsi="Arial" w:cs="Tahoma"/>
        <w:b/>
        <w:color w:val="E36C0A"/>
        <w:sz w:val="32"/>
        <w:szCs w:val="32"/>
      </w:rPr>
      <w:tab/>
    </w:r>
    <w:r w:rsidRPr="00501B92">
      <w:rPr>
        <w:rFonts w:ascii="Arial" w:eastAsia="Calibri" w:hAnsi="Arial" w:cs="Tahoma"/>
        <w:b/>
        <w:color w:val="E36C0A"/>
        <w:sz w:val="28"/>
        <w:szCs w:val="28"/>
      </w:rPr>
      <w:t>Allgemeinwissenschaftliche</w:t>
    </w:r>
    <w:r w:rsidRPr="00501B92">
      <w:rPr>
        <w:rFonts w:ascii="Arial" w:eastAsia="Calibri" w:hAnsi="Arial" w:cs="Tahoma"/>
        <w:b/>
        <w:color w:val="E36C0A"/>
        <w:sz w:val="32"/>
        <w:szCs w:val="32"/>
      </w:rPr>
      <w:t xml:space="preserve"> </w:t>
    </w:r>
    <w:r w:rsidRPr="00501B92">
      <w:rPr>
        <w:rFonts w:ascii="Arial" w:eastAsia="Calibri" w:hAnsi="Arial" w:cs="Tahoma"/>
        <w:b/>
        <w:color w:val="E36C0A"/>
        <w:sz w:val="28"/>
        <w:szCs w:val="28"/>
      </w:rPr>
      <w:t>Wahlpflichtfächer</w:t>
    </w:r>
  </w:p>
  <w:p w:rsidR="00501B92" w:rsidRDefault="00501B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3263"/>
    <w:multiLevelType w:val="hybridMultilevel"/>
    <w:tmpl w:val="68528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C32BB"/>
    <w:multiLevelType w:val="multilevel"/>
    <w:tmpl w:val="B61273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tarSymbol" w:hint="default"/>
        <w:sz w:val="18"/>
        <w:szCs w:val="18"/>
      </w:rPr>
    </w:lvl>
    <w:lvl w:ilvl="1">
      <w:start w:val="1"/>
      <w:numFmt w:val="bullet"/>
      <w:lvlText w:val="‣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⁃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‣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⁃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‣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⁃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" w15:restartNumberingAfterBreak="0">
    <w:nsid w:val="68D61D86"/>
    <w:multiLevelType w:val="hybridMultilevel"/>
    <w:tmpl w:val="97DA02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591C6C"/>
    <w:multiLevelType w:val="multilevel"/>
    <w:tmpl w:val="12D02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92"/>
    <w:rsid w:val="00007E45"/>
    <w:rsid w:val="000721E2"/>
    <w:rsid w:val="00091379"/>
    <w:rsid w:val="000C0F69"/>
    <w:rsid w:val="000D3E67"/>
    <w:rsid w:val="000F5B3E"/>
    <w:rsid w:val="00153E2A"/>
    <w:rsid w:val="00281761"/>
    <w:rsid w:val="002B5D0E"/>
    <w:rsid w:val="002E0347"/>
    <w:rsid w:val="002F798B"/>
    <w:rsid w:val="0033132E"/>
    <w:rsid w:val="00352B15"/>
    <w:rsid w:val="00365148"/>
    <w:rsid w:val="00386FED"/>
    <w:rsid w:val="00407C7C"/>
    <w:rsid w:val="00433EB1"/>
    <w:rsid w:val="004343EB"/>
    <w:rsid w:val="00501B92"/>
    <w:rsid w:val="00574575"/>
    <w:rsid w:val="0063278A"/>
    <w:rsid w:val="006E6111"/>
    <w:rsid w:val="00780822"/>
    <w:rsid w:val="007C4B50"/>
    <w:rsid w:val="00823AF6"/>
    <w:rsid w:val="00832C79"/>
    <w:rsid w:val="008F4F42"/>
    <w:rsid w:val="009141A0"/>
    <w:rsid w:val="00950CD1"/>
    <w:rsid w:val="009616CD"/>
    <w:rsid w:val="009A7962"/>
    <w:rsid w:val="009B557A"/>
    <w:rsid w:val="00A014F8"/>
    <w:rsid w:val="00B17549"/>
    <w:rsid w:val="00B72EF6"/>
    <w:rsid w:val="00B7388C"/>
    <w:rsid w:val="00B82BDE"/>
    <w:rsid w:val="00BF0692"/>
    <w:rsid w:val="00D4385E"/>
    <w:rsid w:val="00DD16D9"/>
    <w:rsid w:val="00F40CAE"/>
    <w:rsid w:val="00F566C8"/>
    <w:rsid w:val="00F915ED"/>
    <w:rsid w:val="00F91D73"/>
    <w:rsid w:val="00FA620A"/>
    <w:rsid w:val="00FC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94F37"/>
  <w15:chartTrackingRefBased/>
  <w15:docId w15:val="{77A5758C-796F-4B50-9F7F-6E32A6D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1B92"/>
  </w:style>
  <w:style w:type="paragraph" w:styleId="Fuzeile">
    <w:name w:val="footer"/>
    <w:basedOn w:val="Standard"/>
    <w:link w:val="FuzeileZchn"/>
    <w:uiPriority w:val="99"/>
    <w:unhideWhenUsed/>
    <w:rsid w:val="00501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1B92"/>
  </w:style>
  <w:style w:type="table" w:styleId="Tabellenraster">
    <w:name w:val="Table Grid"/>
    <w:basedOn w:val="NormaleTabelle"/>
    <w:uiPriority w:val="39"/>
    <w:rsid w:val="00501B92"/>
    <w:pPr>
      <w:spacing w:after="0" w:line="240" w:lineRule="auto"/>
    </w:pPr>
    <w:rPr>
      <w:rFonts w:ascii="Arial" w:hAnsi="Arial" w:cs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rechts">
    <w:name w:val="Tabellentext rechts"/>
    <w:basedOn w:val="Standard"/>
    <w:qFormat/>
    <w:rsid w:val="008F4F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Calibri"/>
      <w:color w:val="000000" w:themeColor="text1"/>
      <w:sz w:val="18"/>
      <w:szCs w:val="18"/>
    </w:rPr>
  </w:style>
  <w:style w:type="paragraph" w:customStyle="1" w:styleId="Default">
    <w:name w:val="Default"/>
    <w:rsid w:val="008F4F4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1D73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91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HSA-Fakultät-AW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Kovács</dc:creator>
  <cp:keywords/>
  <dc:description/>
  <cp:lastModifiedBy>Mahena Stief</cp:lastModifiedBy>
  <cp:revision>4</cp:revision>
  <dcterms:created xsi:type="dcterms:W3CDTF">2022-02-18T15:39:00Z</dcterms:created>
  <dcterms:modified xsi:type="dcterms:W3CDTF">2022-02-18T15:40:00Z</dcterms:modified>
</cp:coreProperties>
</file>