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theme="minorHAnsi"/>
        </w:rPr>
      </w:pPr>
      <w:r>
        <w:rPr>
          <w:rFonts w:cstheme="minorHAnsi"/>
        </w:rPr>
        <w:t xml:space="preserve">Bitte alle orangenen Felder ausfüllen</w:t>
      </w:r>
      <w:r/>
    </w:p>
    <w:tbl>
      <w:tblPr>
        <w:tblStyle w:val="706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Titel der Lehrveranstaltung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Online-Tutorials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Fachnummer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744</w:t>
            </w:r>
            <w:r>
              <w:rPr>
                <w:rFonts w:asciiTheme="minorHAnsi" w:hAnsiTheme="minorHAnsi" w:cstheme="minorHAnsi"/>
              </w:rPr>
              <w:t xml:space="preserve">; 1744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eastAsia="Times New Roman" w:cs="Calibri"/>
                <w:b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lang w:eastAsia="de-DE"/>
              </w:rPr>
              <w:t xml:space="preserve">Englischer Titel der </w:t>
            </w:r>
            <w:r/>
          </w:p>
          <w:p>
            <w:pPr>
              <w:rPr>
                <w:rFonts w:eastAsia="Times New Roman" w:cstheme="minorHAnsi"/>
                <w:b/>
                <w:lang w:eastAsia="de-DE"/>
              </w:rPr>
            </w:pPr>
            <w:r>
              <w:rPr>
                <w:rFonts w:ascii="Calibri" w:hAnsi="Calibri" w:eastAsia="Times New Roman" w:cs="Calibri"/>
                <w:b/>
                <w:lang w:eastAsia="de-DE"/>
              </w:rPr>
              <w:t xml:space="preserve">Lehrveranstaltung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cstheme="minorHAnsi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Online-Tutorials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/>
            <w:bookmarkStart w:id="0" w:name="_GoBack"/>
            <w:r/>
            <w:bookmarkEnd w:id="0"/>
            <w:r>
              <w:rPr>
                <w:rFonts w:asciiTheme="minorHAnsi" w:hAnsiTheme="minorHAnsi" w:cstheme="minorHAnsi"/>
              </w:rPr>
              <w:t xml:space="preserve">Semesterkurs oder Kompaktkurs in der vorlesungsfreien Zeit</w:t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Kurzvorträge, Übungen, Selbstreflexion, Supervision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Modul-verantwortliche/r: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Dr. Mahena Stief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Lehrende</w:t>
            </w: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:r</w:t>
            </w: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Franziska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Wanger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; Harald Volker Sommer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SWS 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Präsenszeit: 2</w:t>
            </w: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  <w:t xml:space="preserve">-30</w:t>
            </w:r>
            <w:r>
              <w:rPr>
                <w:rFonts w:asciiTheme="minorHAnsi" w:hAnsiTheme="minorHAnsi" w:cstheme="minorHAnsi"/>
              </w:rPr>
              <w:t xml:space="preserve"> UE</w:t>
            </w:r>
            <w:r>
              <w:rPr>
                <w:rFonts w:asciiTheme="minorHAnsi" w:hAnsiTheme="minorHAnsi" w:cstheme="minorHAnsi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Gesamtaufwand: 7</w:t>
            </w: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UE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Selbststudium: 50 </w:t>
            </w:r>
            <w:r>
              <w:rPr>
                <w:rFonts w:asciiTheme="minorHAnsi" w:hAnsiTheme="minorHAnsi" w:cstheme="minorHAnsi"/>
              </w:rPr>
              <w:t xml:space="preserve">UE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Präsentation (1</w:t>
            </w:r>
            <w:r>
              <w:rPr>
                <w:rFonts w:asciiTheme="minorHAnsi" w:hAnsiTheme="minorHAnsi" w:cstheme="minorHAnsi"/>
              </w:rPr>
              <w:t xml:space="preserve">0-15</w:t>
            </w:r>
            <w:r>
              <w:rPr>
                <w:rFonts w:asciiTheme="minorHAnsi" w:hAnsiTheme="minorHAnsi" w:cstheme="minorHAnsi"/>
              </w:rPr>
              <w:t xml:space="preserve"> Minuten)</w:t>
            </w:r>
            <w:r>
              <w:rPr>
                <w:rFonts w:asciiTheme="minorHAnsi" w:hAnsiTheme="minorHAnsi" w:cstheme="minorHAnsi"/>
              </w:rPr>
              <w:t xml:space="preserve"> plus schriftliche Leistung (Kurzbericht)</w:t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Näheres regelt der Stundenplan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2 CPs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Keine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Nach einer p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raxisnahen Einführung in Tools &amp; Themen im Bereich Online-Tutorials erstellen Studierende in kleinen Gruppen ein Tutorial von maximal 5 Minuten Länge zu einem Teilthema. Dabei verbessern sie ihre Kompetenzen zum Thema sowie ihre Kompetenzen rund um die Erstellung von Video Tutorials.</w:t>
            </w:r>
            <w:r/>
          </w:p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Die Tutorials werden außerhalb der Kurszeiten von den jeweiligen Kleingruppen in Form einer „Hausarbeit“ erstellt. </w:t>
            </w:r>
            <w:r/>
          </w:p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Je Kleingruppe wird mit der Kursleitung ein weiterer, individueller Termin zur Supervision vereinbart. Dauer maximal 2 Stunden. </w:t>
            </w:r>
            <w:r/>
          </w:p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Abschluss: Präsentation der Tutorials am letzten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Workshoptag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.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Kompetenz-orientierte Beschreibung der Lernziele: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Kenntnisse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spacing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Studierenden...</w:t>
            </w:r>
            <w:r>
              <w:rPr>
                <w:rFonts w:asciiTheme="minorHAnsi" w:hAnsiTheme="minorHAnsi" w:cstheme="minorHAnsi"/>
              </w:rPr>
            </w:r>
            <w:r/>
          </w:p>
          <w:p>
            <w:pPr>
              <w:pStyle w:val="31"/>
              <w:numPr>
                <w:ilvl w:val="0"/>
                <w:numId w:val="4"/>
              </w:numPr>
              <w:spacing w:after="120" w:line="259" w:lineRule="auto"/>
              <w:rPr>
                <w:rFonts w:asciiTheme="minorHAnsi" w:hAnsiTheme="minorHAnsi" w:cstheme="minorHAnsi"/>
                <w:highlight w:val="none"/>
              </w:rPr>
            </w:pPr>
            <w:r>
              <w:rPr>
                <w:rFonts w:asciiTheme="minorHAnsi" w:hAnsiTheme="minorHAnsi" w:cstheme="minorHAnsi"/>
              </w:rPr>
              <w:t xml:space="preserve">erklären die wesentlichen Rahmenbedingungen von Tutorials, insbesondere Online-Tutorials.</w:t>
            </w:r>
            <w:r>
              <w:rPr>
                <w:rFonts w:asciiTheme="minorHAnsi" w:hAnsiTheme="minorHAnsi" w:cstheme="minorHAnsi"/>
              </w:rPr>
            </w:r>
            <w:r/>
          </w:p>
          <w:p>
            <w:pPr>
              <w:pStyle w:val="31"/>
              <w:numPr>
                <w:ilvl w:val="0"/>
                <w:numId w:val="4"/>
              </w:numPr>
              <w:spacing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none"/>
              </w:rPr>
              <w:t xml:space="preserve">Benennen klassische Anwendungsbereiche und -beispiele von Online-Tutorials.</w:t>
            </w:r>
            <w:r>
              <w:rPr>
                <w:rFonts w:asciiTheme="minorHAnsi" w:hAnsiTheme="minorHAnsi" w:cstheme="minorHAnsi"/>
                <w:highlight w:val="none"/>
              </w:rPr>
            </w:r>
          </w:p>
          <w:p>
            <w:pPr>
              <w:spacing w:after="120" w:line="259" w:lineRule="auto"/>
              <w:rPr>
                <w:rFonts w:asciiTheme="minorHAnsi" w:hAnsiTheme="minorHAnsi" w:cstheme="minorHAnsi"/>
                <w:b/>
                <w:bCs/>
                <w:highlight w:val="none"/>
              </w:rPr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  <w:t xml:space="preserve">Fertigkeiten</w:t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</w:p>
          <w:p>
            <w:pPr>
              <w:spacing w:after="120" w:line="259" w:lineRule="auto"/>
              <w:rPr>
                <w:rFonts w:asciiTheme="minorHAnsi" w:hAnsiTheme="minorHAnsi" w:cstheme="minorHAnsi"/>
                <w:highlight w:val="none"/>
              </w:rPr>
            </w:pPr>
            <w:r>
              <w:rPr>
                <w:rFonts w:asciiTheme="minorHAnsi" w:hAnsiTheme="minorHAnsi" w:cstheme="minorHAnsi"/>
                <w:highlight w:val="none"/>
              </w:rPr>
              <w:t xml:space="preserve">Die Studierenden...</w:t>
            </w:r>
            <w:r>
              <w:rPr>
                <w:rFonts w:asciiTheme="minorHAnsi" w:hAnsiTheme="minorHAnsi" w:cstheme="minorHAnsi"/>
                <w:highlight w:val="none"/>
              </w:rPr>
            </w:r>
          </w:p>
          <w:p>
            <w:pPr>
              <w:pStyle w:val="31"/>
              <w:numPr>
                <w:ilvl w:val="0"/>
                <w:numId w:val="5"/>
              </w:numPr>
              <w:ind w:right="423"/>
            </w:pPr>
            <w:r>
              <w:rPr>
                <w:rFonts w:ascii="Calibri" w:hAnsi="Calibri" w:cs="Calibri"/>
                <w:sz w:val="24"/>
                <w:szCs w:val="24"/>
              </w:rPr>
              <w:t xml:space="preserve">wenden Wissen aus dem Bereich der Onlinedidaktik und –methodik auf konkrete Problemstellungen und Lernziele an.</w:t>
            </w: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  <w:p>
            <w:pPr>
              <w:pStyle w:val="31"/>
              <w:numPr>
                <w:ilvl w:val="0"/>
                <w:numId w:val="7"/>
              </w:numPr>
              <w:ind w:right="4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erproben verschiedene Techniken und Methoden im Bereich von Video-Turorials und...</w:t>
            </w: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  <w:p>
            <w:pPr>
              <w:pStyle w:val="31"/>
              <w:numPr>
                <w:ilvl w:val="0"/>
                <w:numId w:val="5"/>
              </w:numPr>
              <w:ind w:right="423"/>
            </w:pPr>
            <w:r>
              <w:rPr>
                <w:rFonts w:ascii="Calibri" w:hAnsi="Calibri" w:cs="Calibri"/>
                <w:sz w:val="24"/>
                <w:szCs w:val="24"/>
              </w:rPr>
              <w:t xml:space="preserve">analysieren die Wirkung dieser Methoden</w:t>
            </w:r>
            <w:r/>
          </w:p>
          <w:p>
            <w:pPr>
              <w:spacing w:after="120" w:line="259" w:lineRule="auto"/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  <w:t xml:space="preserve">Kompetenzen</w:t>
            </w:r>
            <w:r/>
          </w:p>
          <w:p>
            <w:pPr>
              <w:spacing w:after="120" w:line="259" w:lineRule="auto"/>
              <w:rPr>
                <w:highlight w:val="none"/>
              </w:rPr>
            </w:pPr>
            <w:r>
              <w:rPr>
                <w:rFonts w:asciiTheme="minorHAnsi" w:hAnsiTheme="minorHAnsi" w:cstheme="minorHAnsi"/>
                <w:highlight w:val="none"/>
              </w:rPr>
              <w:t xml:space="preserve">Die Studierenden...</w:t>
            </w:r>
            <w:r>
              <w:rPr>
                <w:rFonts w:asciiTheme="minorHAnsi" w:hAnsiTheme="minorHAnsi" w:cstheme="minorHAnsi"/>
              </w:rPr>
            </w:r>
            <w:r/>
          </w:p>
          <w:p>
            <w:pPr>
              <w:pStyle w:val="31"/>
              <w:numPr>
                <w:ilvl w:val="0"/>
                <w:numId w:val="6"/>
              </w:numPr>
              <w:spacing w:after="12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reflektieren eigene Kompetenzen und Zugänge im Bereich von Online-Tutorials.</w:t>
            </w:r>
            <w:r/>
          </w:p>
          <w:p>
            <w:pPr>
              <w:pStyle w:val="31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highlight w:val="none"/>
              </w:rPr>
              <w:t xml:space="preserve">wählen Methoden im Bereich Online-Tutorials für bestimmte Problemstellungen und Lernziele aus und geben sich gegenseitig Feedback über die Passung.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Theme="minorHAnsi" w:hAnsiTheme="minorHAnsi" w:cstheme="minorHAnsi"/>
                <w:highlight w:val="none"/>
              </w:rPr>
            </w:r>
            <w:r>
              <w:rPr>
                <w:rFonts w:asciiTheme="minorHAnsi" w:hAnsiTheme="minorHAnsi" w:cstheme="minorHAnsi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</w:tr>
    </w:tbl>
    <w:p>
      <w:pPr>
        <w:rPr>
          <w:rFonts w:cstheme="minorHAnsi"/>
        </w:rPr>
      </w:pPr>
      <w:r>
        <w:rPr>
          <w:rFonts w:cstheme="minorHAnsi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16.01.2020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eastAsia="Calibri" w:cs="Arial"/>
        <w:b/>
        <w:spacing w:val="6"/>
        <w:sz w:val="21"/>
        <w:szCs w:val="21"/>
      </w:rPr>
    </w:pPr>
    <w:r>
      <w:rPr>
        <w:rFonts w:ascii="Arial" w:hAnsi="Arial" w:eastAsia="Calibri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eastAsia="Calibri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eastAsia="Calibri" w:cs="Arial"/>
        <w:sz w:val="21"/>
        <w:szCs w:val="21"/>
        <w:lang w:val="en-GB"/>
      </w:rPr>
    </w:pPr>
    <w:r>
      <w:rPr>
        <w:rFonts w:ascii="Arial" w:hAnsi="Arial" w:eastAsia="Calibri" w:cs="Arial"/>
        <w:sz w:val="21"/>
        <w:szCs w:val="21"/>
        <w:lang w:val="en-GB"/>
      </w:rPr>
      <w:t xml:space="preserve">University of Applied Sciences</w:t>
    </w:r>
    <w:r>
      <w:rPr>
        <w:rFonts w:ascii="Arial" w:hAnsi="Arial" w:eastAsia="Calibri" w:cs="Arial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eastAsia="Calibri" w:cs="Tahoma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eastAsia="Calibri" w:cs="Tahoma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eastAsia="Calibri" w:cs="Tahoma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eastAsia="Calibri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eastAsia="Calibri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neutral_288dpi_f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494.2pt;mso-position-horizontal:absolute;mso-position-vertical-relative:page;margin-top:22.3pt;mso-position-vertical:absolute;width:63.1pt;height:34.4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eastAsia="Calibri" w:cs="Tahoma"/>
        <w:b/>
        <w:color w:val="e36c0a"/>
        <w:sz w:val="32"/>
        <w:szCs w:val="32"/>
      </w:rPr>
      <w:t xml:space="preserve"> </w:t>
    </w:r>
    <w:r>
      <w:rPr>
        <w:rFonts w:ascii="Arial" w:hAnsi="Arial" w:eastAsia="Calibri" w:cs="Tahoma"/>
        <w:b/>
        <w:color w:val="e36c0a"/>
        <w:sz w:val="32"/>
        <w:szCs w:val="32"/>
      </w:rPr>
      <w:tab/>
    </w:r>
    <w:r>
      <w:rPr>
        <w:rFonts w:ascii="Arial" w:hAnsi="Arial" w:eastAsia="Calibri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eastAsia="Calibri" w:cs="Tahoma"/>
        <w:b/>
        <w:color w:val="e36c0a"/>
        <w:sz w:val="32"/>
        <w:szCs w:val="32"/>
      </w:rPr>
      <w:t xml:space="preserve"> </w:t>
    </w:r>
    <w:r>
      <w:rPr>
        <w:rFonts w:ascii="Arial" w:hAnsi="Arial" w:eastAsia="Calibri" w:cs="Tahoma"/>
        <w:b/>
        <w:color w:val="e36c0a"/>
        <w:sz w:val="28"/>
        <w:szCs w:val="28"/>
      </w:rPr>
      <w:t xml:space="preserve">Wahlpflichtfächer</w:t>
    </w:r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hint="default" w:ascii="starsymbol" w:hAnsi="starsymbol" w:cs="starsymbol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hint="default" w:ascii="starsymbol" w:hAnsi="star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hint="default" w:ascii="starsymbol" w:hAnsi="starsymbol" w:cs="starsymbol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hint="default" w:ascii="starsymbol" w:hAnsi="star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hint="default" w:ascii="starsymbol" w:hAnsi="starsymbol" w:cs="starsymbol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hint="default" w:ascii="starsymbol" w:hAnsi="starsymbol" w:cs="starsymbol"/>
        <w:sz w:val="18"/>
        <w:szCs w:val="18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2"/>
    <w:uiPriority w:val="99"/>
  </w:style>
  <w:style w:type="character" w:styleId="45">
    <w:name w:val="Footer Char"/>
    <w:basedOn w:val="699"/>
    <w:link w:val="704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Header"/>
    <w:basedOn w:val="698"/>
    <w:link w:val="70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03" w:customStyle="1">
    <w:name w:val="Kopfzeile Zchn"/>
    <w:basedOn w:val="699"/>
    <w:link w:val="702"/>
    <w:uiPriority w:val="99"/>
  </w:style>
  <w:style w:type="paragraph" w:styleId="704">
    <w:name w:val="Footer"/>
    <w:basedOn w:val="698"/>
    <w:link w:val="70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05" w:customStyle="1">
    <w:name w:val="Fußzeile Zchn"/>
    <w:basedOn w:val="699"/>
    <w:link w:val="704"/>
    <w:uiPriority w:val="99"/>
  </w:style>
  <w:style w:type="table" w:styleId="706">
    <w:name w:val="Table Grid"/>
    <w:basedOn w:val="700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 w:customStyle="1">
    <w:name w:val="Tabellentext rechts"/>
    <w:basedOn w:val="698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Calibri" w:cs="Calibri"/>
      <w:color w:val="000000" w:themeColor="text1"/>
      <w:sz w:val="18"/>
      <w:szCs w:val="18"/>
    </w:rPr>
  </w:style>
  <w:style w:type="paragraph" w:styleId="708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Calibri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>HSA-Fakultät-AW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 (julie.zenner@hs-augsburg.de)</cp:lastModifiedBy>
  <cp:revision>4</cp:revision>
  <dcterms:created xsi:type="dcterms:W3CDTF">2023-02-08T08:29:00Z</dcterms:created>
  <dcterms:modified xsi:type="dcterms:W3CDTF">2023-06-05T09:17:38Z</dcterms:modified>
</cp:coreProperties>
</file>